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05" w:rsidRDefault="00A85105" w:rsidP="00A85105">
      <w:pPr>
        <w:spacing w:after="0" w:line="240" w:lineRule="auto"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Training Module for</w:t>
      </w:r>
      <w:r w:rsidRPr="0091259A">
        <w:rPr>
          <w:rFonts w:ascii="Verdana" w:hAnsi="Verdana" w:cs="Times New Roman"/>
          <w:b/>
          <w:bCs/>
          <w:color w:val="000000"/>
        </w:rPr>
        <w:t xml:space="preserve"> – ‘Pay Fixation’ </w:t>
      </w:r>
      <w:r>
        <w:rPr>
          <w:rFonts w:ascii="Verdana" w:hAnsi="Verdana" w:cs="Times New Roman"/>
          <w:b/>
          <w:bCs/>
          <w:color w:val="000000"/>
        </w:rPr>
        <w:t>(Fixation and Revision of Pay</w:t>
      </w:r>
      <w:r w:rsidRPr="0091259A">
        <w:rPr>
          <w:rFonts w:ascii="Verdana" w:hAnsi="Verdana" w:cs="Times New Roman"/>
          <w:b/>
          <w:bCs/>
          <w:color w:val="000000"/>
        </w:rPr>
        <w:t>)</w:t>
      </w:r>
    </w:p>
    <w:p w:rsidR="00A85105" w:rsidRPr="0091259A" w:rsidRDefault="00A85105" w:rsidP="00A85105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u w:val="single"/>
        </w:rPr>
      </w:pPr>
    </w:p>
    <w:p w:rsidR="00A85105" w:rsidRPr="00680F90" w:rsidRDefault="00A85105" w:rsidP="00A85105">
      <w:pPr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12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5"/>
        <w:gridCol w:w="5473"/>
      </w:tblGrid>
      <w:tr w:rsidR="00A85105" w:rsidRPr="0091259A" w:rsidTr="006A4F4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5" w:rsidRPr="0091259A" w:rsidRDefault="00A85105" w:rsidP="006A4F42">
            <w:pPr>
              <w:pStyle w:val="NoSpacing"/>
              <w:rPr>
                <w:rStyle w:val="Strong"/>
                <w:rFonts w:ascii="Verdana" w:hAnsi="Verdana"/>
                <w:sz w:val="20"/>
                <w:szCs w:val="20"/>
              </w:rPr>
            </w:pPr>
            <w:r w:rsidRPr="0091259A">
              <w:rPr>
                <w:rStyle w:val="Strong"/>
                <w:rFonts w:ascii="Verdana" w:hAnsi="Verdana"/>
                <w:sz w:val="20"/>
                <w:szCs w:val="20"/>
              </w:rPr>
              <w:t>Name of the Package of Courses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05" w:rsidRPr="0091259A" w:rsidRDefault="00A85105" w:rsidP="006A4F42">
            <w:pPr>
              <w:pStyle w:val="NoSpacing"/>
              <w:jc w:val="center"/>
              <w:rPr>
                <w:rStyle w:val="Strong"/>
                <w:rFonts w:ascii="Verdana" w:hAnsi="Verdana"/>
                <w:sz w:val="20"/>
                <w:szCs w:val="20"/>
              </w:rPr>
            </w:pPr>
            <w:r w:rsidRPr="0091259A">
              <w:rPr>
                <w:rStyle w:val="Strong"/>
                <w:rFonts w:ascii="Verdana" w:hAnsi="Verdana"/>
                <w:sz w:val="20"/>
                <w:szCs w:val="20"/>
              </w:rPr>
              <w:t>Functional Efficiency</w:t>
            </w:r>
          </w:p>
        </w:tc>
      </w:tr>
      <w:tr w:rsidR="00A85105" w:rsidRPr="0091259A" w:rsidTr="006A4F4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5" w:rsidRPr="0091259A" w:rsidRDefault="00A85105" w:rsidP="006A4F42">
            <w:pPr>
              <w:pStyle w:val="NoSpacing"/>
              <w:rPr>
                <w:rStyle w:val="Strong"/>
                <w:rFonts w:ascii="Verdana" w:hAnsi="Verdana"/>
                <w:sz w:val="20"/>
                <w:szCs w:val="20"/>
              </w:rPr>
            </w:pPr>
            <w:r w:rsidRPr="0091259A">
              <w:rPr>
                <w:rStyle w:val="Strong"/>
                <w:rFonts w:ascii="Verdana" w:hAnsi="Verdana"/>
                <w:sz w:val="20"/>
                <w:szCs w:val="20"/>
              </w:rPr>
              <w:t xml:space="preserve">Duration of the Course  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5" w:rsidRPr="0091259A" w:rsidRDefault="00A85105" w:rsidP="006A4F42">
            <w:pPr>
              <w:pStyle w:val="NoSpacing"/>
              <w:jc w:val="center"/>
              <w:rPr>
                <w:rStyle w:val="Strong"/>
                <w:rFonts w:ascii="Verdana" w:hAnsi="Verdana"/>
                <w:sz w:val="20"/>
                <w:szCs w:val="20"/>
              </w:rPr>
            </w:pPr>
            <w:r w:rsidRPr="0091259A">
              <w:rPr>
                <w:rStyle w:val="Strong"/>
                <w:rFonts w:ascii="Verdana" w:hAnsi="Verdana"/>
                <w:sz w:val="20"/>
                <w:szCs w:val="20"/>
              </w:rPr>
              <w:t>Two days</w:t>
            </w:r>
          </w:p>
        </w:tc>
      </w:tr>
      <w:tr w:rsidR="00A85105" w:rsidRPr="0091259A" w:rsidTr="006A4F4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5" w:rsidRPr="0091259A" w:rsidRDefault="00A85105" w:rsidP="006A4F42">
            <w:pPr>
              <w:pStyle w:val="NoSpacing"/>
              <w:rPr>
                <w:rStyle w:val="Strong"/>
                <w:rFonts w:ascii="Verdana" w:hAnsi="Verdana"/>
                <w:sz w:val="20"/>
                <w:szCs w:val="20"/>
              </w:rPr>
            </w:pPr>
            <w:r w:rsidRPr="0091259A">
              <w:rPr>
                <w:rStyle w:val="Strong"/>
                <w:rFonts w:ascii="Verdana" w:hAnsi="Verdana"/>
                <w:sz w:val="20"/>
                <w:szCs w:val="20"/>
              </w:rPr>
              <w:t>Number of Sessions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5" w:rsidRPr="0091259A" w:rsidRDefault="00A85105" w:rsidP="006A4F42">
            <w:pPr>
              <w:pStyle w:val="NoSpacing"/>
              <w:jc w:val="center"/>
              <w:rPr>
                <w:rStyle w:val="Strong"/>
                <w:rFonts w:ascii="Verdana" w:hAnsi="Verdana"/>
                <w:sz w:val="20"/>
                <w:szCs w:val="20"/>
              </w:rPr>
            </w:pPr>
            <w:r w:rsidRPr="0091259A">
              <w:rPr>
                <w:rStyle w:val="Strong"/>
                <w:rFonts w:ascii="Verdana" w:hAnsi="Verdana"/>
                <w:sz w:val="20"/>
                <w:szCs w:val="20"/>
              </w:rPr>
              <w:t>08 (Eight)</w:t>
            </w:r>
          </w:p>
        </w:tc>
      </w:tr>
      <w:tr w:rsidR="00A85105" w:rsidRPr="0091259A" w:rsidTr="006A4F4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5" w:rsidRPr="0091259A" w:rsidRDefault="00A85105" w:rsidP="006A4F42">
            <w:pPr>
              <w:pStyle w:val="NoSpacing"/>
              <w:rPr>
                <w:rStyle w:val="Strong"/>
                <w:rFonts w:ascii="Verdana" w:hAnsi="Verdana"/>
                <w:sz w:val="20"/>
                <w:szCs w:val="20"/>
              </w:rPr>
            </w:pPr>
            <w:r w:rsidRPr="0091259A">
              <w:rPr>
                <w:rStyle w:val="Strong"/>
                <w:rFonts w:ascii="Verdana" w:hAnsi="Verdana"/>
                <w:sz w:val="20"/>
                <w:szCs w:val="20"/>
              </w:rPr>
              <w:t xml:space="preserve">Training Branch 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5" w:rsidRPr="0091259A" w:rsidRDefault="00A85105" w:rsidP="006A4F42">
            <w:pPr>
              <w:pStyle w:val="NoSpacing"/>
              <w:jc w:val="center"/>
              <w:rPr>
                <w:rStyle w:val="Strong"/>
                <w:rFonts w:ascii="Verdana" w:hAnsi="Verdana"/>
                <w:sz w:val="20"/>
                <w:szCs w:val="20"/>
              </w:rPr>
            </w:pPr>
            <w:r w:rsidRPr="0091259A">
              <w:rPr>
                <w:rStyle w:val="Strong"/>
                <w:rFonts w:ascii="Verdana" w:hAnsi="Verdana"/>
                <w:sz w:val="20"/>
                <w:szCs w:val="20"/>
              </w:rPr>
              <w:t>I</w:t>
            </w:r>
          </w:p>
        </w:tc>
      </w:tr>
      <w:tr w:rsidR="00A85105" w:rsidRPr="0091259A" w:rsidTr="006A4F4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5" w:rsidRPr="0091259A" w:rsidRDefault="00A85105" w:rsidP="006A4F42">
            <w:pPr>
              <w:pStyle w:val="NoSpacing"/>
              <w:rPr>
                <w:rStyle w:val="Strong"/>
                <w:rFonts w:ascii="Verdana" w:hAnsi="Verdana"/>
                <w:sz w:val="20"/>
                <w:szCs w:val="20"/>
              </w:rPr>
            </w:pPr>
            <w:r w:rsidRPr="0091259A">
              <w:rPr>
                <w:rStyle w:val="Strong"/>
                <w:rFonts w:ascii="Verdana" w:hAnsi="Verdana"/>
                <w:sz w:val="20"/>
                <w:szCs w:val="20"/>
              </w:rPr>
              <w:t xml:space="preserve">Name of Course Coordinator 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05" w:rsidRPr="00C26443" w:rsidRDefault="00A85105" w:rsidP="006A4F42">
            <w:pPr>
              <w:spacing w:after="0" w:line="240" w:lineRule="auto"/>
              <w:jc w:val="center"/>
              <w:rPr>
                <w:rStyle w:val="Strong"/>
                <w:rFonts w:ascii="Bookman Old Style" w:hAnsi="Bookman Old Style"/>
              </w:rPr>
            </w:pPr>
            <w:r w:rsidRPr="00C26443">
              <w:rPr>
                <w:rFonts w:ascii="Bookman Old Style" w:hAnsi="Bookman Old Style"/>
                <w:b/>
                <w:bCs/>
              </w:rPr>
              <w:t xml:space="preserve">Sh. </w:t>
            </w:r>
            <w:proofErr w:type="spellStart"/>
            <w:r w:rsidRPr="00C26443">
              <w:rPr>
                <w:rFonts w:ascii="Bookman Old Style" w:hAnsi="Bookman Old Style"/>
                <w:b/>
                <w:bCs/>
              </w:rPr>
              <w:t>Aseem</w:t>
            </w:r>
            <w:proofErr w:type="spellEnd"/>
            <w:r w:rsidRPr="00C26443">
              <w:rPr>
                <w:rFonts w:ascii="Bookman Old Style" w:hAnsi="Bookman Old Style"/>
                <w:b/>
                <w:bCs/>
              </w:rPr>
              <w:t xml:space="preserve"> Kumar </w:t>
            </w:r>
            <w:proofErr w:type="spellStart"/>
            <w:r w:rsidRPr="00C26443">
              <w:rPr>
                <w:rFonts w:ascii="Bookman Old Style" w:hAnsi="Bookman Old Style"/>
                <w:b/>
                <w:bCs/>
              </w:rPr>
              <w:t>Goel</w:t>
            </w:r>
            <w:proofErr w:type="spellEnd"/>
            <w:r>
              <w:rPr>
                <w:rFonts w:ascii="Bookman Old Style" w:hAnsi="Bookman Old Style"/>
                <w:b/>
                <w:bCs/>
              </w:rPr>
              <w:t xml:space="preserve"> </w:t>
            </w:r>
            <w:r>
              <w:rPr>
                <w:rStyle w:val="Strong"/>
                <w:rFonts w:ascii="Verdana" w:hAnsi="Verdana"/>
                <w:sz w:val="20"/>
              </w:rPr>
              <w:t xml:space="preserve"> (</w:t>
            </w:r>
            <w:r w:rsidRPr="0091259A">
              <w:rPr>
                <w:rStyle w:val="Strong"/>
                <w:rFonts w:ascii="Verdana" w:hAnsi="Verdana"/>
                <w:sz w:val="20"/>
              </w:rPr>
              <w:t>Assistant Director)</w:t>
            </w:r>
          </w:p>
        </w:tc>
      </w:tr>
    </w:tbl>
    <w:p w:rsidR="00A85105" w:rsidRPr="0091259A" w:rsidRDefault="00A85105" w:rsidP="00A85105">
      <w:pPr>
        <w:tabs>
          <w:tab w:val="left" w:pos="1320"/>
          <w:tab w:val="left" w:pos="1515"/>
          <w:tab w:val="center" w:pos="4590"/>
        </w:tabs>
        <w:spacing w:after="0"/>
        <w:jc w:val="center"/>
        <w:rPr>
          <w:rFonts w:ascii="Verdana" w:hAnsi="Verdana" w:cs="Times New Roman"/>
          <w:sz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1"/>
        <w:gridCol w:w="6947"/>
      </w:tblGrid>
      <w:tr w:rsidR="00A85105" w:rsidRPr="009D6726" w:rsidTr="006A4F42">
        <w:tc>
          <w:tcPr>
            <w:tcW w:w="2521" w:type="dxa"/>
          </w:tcPr>
          <w:p w:rsidR="00A85105" w:rsidRPr="009D6726" w:rsidRDefault="00A85105" w:rsidP="006A4F42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SESSION</w:t>
            </w:r>
          </w:p>
        </w:tc>
        <w:tc>
          <w:tcPr>
            <w:tcW w:w="6947" w:type="dxa"/>
          </w:tcPr>
          <w:p w:rsidR="00A85105" w:rsidRPr="009D6726" w:rsidRDefault="00A85105" w:rsidP="006A4F42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TOPIC</w:t>
            </w:r>
          </w:p>
        </w:tc>
      </w:tr>
      <w:tr w:rsidR="00A85105" w:rsidRPr="009D6726" w:rsidTr="006A4F42">
        <w:tc>
          <w:tcPr>
            <w:tcW w:w="9468" w:type="dxa"/>
            <w:gridSpan w:val="2"/>
          </w:tcPr>
          <w:p w:rsidR="00A85105" w:rsidRDefault="00A85105" w:rsidP="006A4F42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DAY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- 1 (16.01.2023)</w:t>
            </w:r>
          </w:p>
          <w:p w:rsidR="00A85105" w:rsidRPr="009D6726" w:rsidRDefault="00A85105" w:rsidP="006A4F42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A85105" w:rsidRPr="009D6726" w:rsidTr="006A4F42">
        <w:tc>
          <w:tcPr>
            <w:tcW w:w="2521" w:type="dxa"/>
            <w:vMerge w:val="restart"/>
          </w:tcPr>
          <w:p w:rsidR="00A85105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I &amp; II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</w:p>
          <w:p w:rsidR="00A85105" w:rsidRPr="009D6726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(10.00 AM to 12.45 PM)</w:t>
            </w:r>
          </w:p>
        </w:tc>
        <w:tc>
          <w:tcPr>
            <w:tcW w:w="6947" w:type="dxa"/>
          </w:tcPr>
          <w:p w:rsidR="00A85105" w:rsidRPr="009D6726" w:rsidRDefault="00A85105" w:rsidP="006A4F42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color w:val="000000"/>
                <w:sz w:val="20"/>
                <w:szCs w:val="18"/>
              </w:rPr>
              <w:t xml:space="preserve">Delegation of Financial Powers and preparation of Pay Arrears bills </w:t>
            </w:r>
          </w:p>
        </w:tc>
      </w:tr>
      <w:tr w:rsidR="00A85105" w:rsidRPr="009D6726" w:rsidTr="006A4F42">
        <w:tc>
          <w:tcPr>
            <w:tcW w:w="2521" w:type="dxa"/>
            <w:vMerge/>
          </w:tcPr>
          <w:p w:rsidR="00A85105" w:rsidRPr="009D6726" w:rsidRDefault="00A85105" w:rsidP="006A4F42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6947" w:type="dxa"/>
          </w:tcPr>
          <w:p w:rsidR="00A85105" w:rsidRPr="009D6726" w:rsidRDefault="00A85105" w:rsidP="006A4F42">
            <w:pPr>
              <w:numPr>
                <w:ilvl w:val="0"/>
                <w:numId w:val="1"/>
              </w:numPr>
              <w:tabs>
                <w:tab w:val="clear" w:pos="781"/>
              </w:tabs>
              <w:spacing w:after="0" w:line="240" w:lineRule="auto"/>
              <w:ind w:left="432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Delegation of Financial Powers Rules, 1978</w:t>
            </w:r>
          </w:p>
          <w:p w:rsidR="00A85105" w:rsidRPr="009D6726" w:rsidRDefault="00A85105" w:rsidP="006A4F42">
            <w:pPr>
              <w:numPr>
                <w:ilvl w:val="0"/>
                <w:numId w:val="1"/>
              </w:numPr>
              <w:tabs>
                <w:tab w:val="clear" w:pos="781"/>
              </w:tabs>
              <w:spacing w:after="0" w:line="240" w:lineRule="auto"/>
              <w:ind w:left="432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Powers of HOD</w:t>
            </w:r>
          </w:p>
          <w:p w:rsidR="00A85105" w:rsidRPr="009D6726" w:rsidRDefault="00A85105" w:rsidP="006A4F42">
            <w:pPr>
              <w:numPr>
                <w:ilvl w:val="0"/>
                <w:numId w:val="1"/>
              </w:numPr>
              <w:tabs>
                <w:tab w:val="clear" w:pos="781"/>
              </w:tabs>
              <w:spacing w:after="0" w:line="240" w:lineRule="auto"/>
              <w:ind w:left="432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Powers of HOO</w:t>
            </w:r>
          </w:p>
          <w:p w:rsidR="00A85105" w:rsidRPr="009D6726" w:rsidRDefault="00A85105" w:rsidP="006A4F42">
            <w:pPr>
              <w:numPr>
                <w:ilvl w:val="0"/>
                <w:numId w:val="1"/>
              </w:numPr>
              <w:tabs>
                <w:tab w:val="clear" w:pos="781"/>
              </w:tabs>
              <w:spacing w:after="0" w:line="240" w:lineRule="auto"/>
              <w:ind w:left="432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Powers of DDO</w:t>
            </w:r>
          </w:p>
          <w:p w:rsidR="00A85105" w:rsidRDefault="00A85105" w:rsidP="006A4F42">
            <w:pPr>
              <w:numPr>
                <w:ilvl w:val="0"/>
                <w:numId w:val="3"/>
              </w:numPr>
              <w:tabs>
                <w:tab w:val="clear" w:pos="972"/>
                <w:tab w:val="num" w:pos="432"/>
              </w:tabs>
              <w:spacing w:after="0" w:line="240" w:lineRule="auto"/>
              <w:ind w:hanging="90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Pay Bills</w:t>
            </w:r>
          </w:p>
          <w:p w:rsidR="00A85105" w:rsidRPr="003D1DC6" w:rsidRDefault="00A85105" w:rsidP="006A4F42">
            <w:pPr>
              <w:numPr>
                <w:ilvl w:val="0"/>
                <w:numId w:val="3"/>
              </w:numPr>
              <w:tabs>
                <w:tab w:val="clear" w:pos="972"/>
                <w:tab w:val="num" w:pos="432"/>
              </w:tabs>
              <w:spacing w:after="0" w:line="240" w:lineRule="auto"/>
              <w:ind w:hanging="90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  <w:t>Open Session to address queries</w:t>
            </w: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 xml:space="preserve"> </w:t>
            </w:r>
          </w:p>
        </w:tc>
      </w:tr>
      <w:tr w:rsidR="00A85105" w:rsidRPr="009D6726" w:rsidTr="006A4F42">
        <w:tc>
          <w:tcPr>
            <w:tcW w:w="2521" w:type="dxa"/>
            <w:vMerge w:val="restart"/>
          </w:tcPr>
          <w:p w:rsidR="00A85105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III &amp; IV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 xml:space="preserve">  </w:t>
            </w:r>
          </w:p>
          <w:p w:rsidR="00A85105" w:rsidRPr="009D6726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(01.45 PM to 04.30 PM)</w:t>
            </w:r>
          </w:p>
        </w:tc>
        <w:tc>
          <w:tcPr>
            <w:tcW w:w="6947" w:type="dxa"/>
          </w:tcPr>
          <w:p w:rsidR="00A85105" w:rsidRPr="009E4A28" w:rsidRDefault="00A85105" w:rsidP="006A4F42">
            <w:pPr>
              <w:spacing w:after="0" w:line="360" w:lineRule="auto"/>
              <w:jc w:val="both"/>
              <w:rPr>
                <w:rFonts w:ascii="Verdana" w:hAnsi="Verdana" w:cs="Times New Roman"/>
                <w:b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color w:val="000000"/>
                <w:sz w:val="20"/>
                <w:szCs w:val="18"/>
              </w:rPr>
              <w:t>ACP and MACPS</w:t>
            </w:r>
          </w:p>
        </w:tc>
      </w:tr>
      <w:tr w:rsidR="00A85105" w:rsidRPr="009D6726" w:rsidTr="006A4F42">
        <w:tc>
          <w:tcPr>
            <w:tcW w:w="2521" w:type="dxa"/>
            <w:vMerge/>
          </w:tcPr>
          <w:p w:rsidR="00A85105" w:rsidRPr="009D6726" w:rsidRDefault="00A85105" w:rsidP="006A4F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</w:p>
        </w:tc>
        <w:tc>
          <w:tcPr>
            <w:tcW w:w="6947" w:type="dxa"/>
          </w:tcPr>
          <w:p w:rsidR="00A85105" w:rsidRPr="009D6726" w:rsidRDefault="00A85105" w:rsidP="006A4F42">
            <w:pPr>
              <w:numPr>
                <w:ilvl w:val="0"/>
                <w:numId w:val="2"/>
              </w:numPr>
              <w:tabs>
                <w:tab w:val="num" w:pos="464"/>
              </w:tabs>
              <w:spacing w:after="0" w:line="240" w:lineRule="auto"/>
              <w:ind w:hanging="616"/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  <w:t>Background of the scheme</w:t>
            </w:r>
          </w:p>
          <w:p w:rsidR="00A85105" w:rsidRPr="009D6726" w:rsidRDefault="00A85105" w:rsidP="006A4F42">
            <w:pPr>
              <w:numPr>
                <w:ilvl w:val="0"/>
                <w:numId w:val="2"/>
              </w:numPr>
              <w:tabs>
                <w:tab w:val="num" w:pos="464"/>
              </w:tabs>
              <w:spacing w:after="0" w:line="240" w:lineRule="auto"/>
              <w:ind w:left="464"/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  <w:t xml:space="preserve">ACP – </w:t>
            </w:r>
            <w:r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  <w:t xml:space="preserve">promotion or </w:t>
            </w:r>
            <w:r w:rsidRPr="009D6726"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  <w:t>financial up-gradation</w:t>
            </w:r>
          </w:p>
          <w:p w:rsidR="00A85105" w:rsidRPr="009D6726" w:rsidRDefault="00A85105" w:rsidP="006A4F42">
            <w:pPr>
              <w:numPr>
                <w:ilvl w:val="0"/>
                <w:numId w:val="2"/>
              </w:numPr>
              <w:tabs>
                <w:tab w:val="num" w:pos="464"/>
              </w:tabs>
              <w:spacing w:after="0" w:line="240" w:lineRule="auto"/>
              <w:ind w:hanging="616"/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  <w:t>Sixth / Seventh Pay Commission</w:t>
            </w:r>
          </w:p>
          <w:p w:rsidR="00A85105" w:rsidRPr="009D6726" w:rsidRDefault="00A85105" w:rsidP="006A4F42">
            <w:pPr>
              <w:numPr>
                <w:ilvl w:val="0"/>
                <w:numId w:val="2"/>
              </w:numPr>
              <w:tabs>
                <w:tab w:val="num" w:pos="464"/>
              </w:tabs>
              <w:spacing w:after="0" w:line="240" w:lineRule="auto"/>
              <w:ind w:hanging="616"/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  <w:t>Modified Assured Career Progression Scheme</w:t>
            </w:r>
          </w:p>
          <w:p w:rsidR="00A85105" w:rsidRPr="009D6726" w:rsidRDefault="00A85105" w:rsidP="006A4F42">
            <w:pPr>
              <w:spacing w:after="0" w:line="360" w:lineRule="auto"/>
              <w:ind w:left="-105" w:firstLine="465"/>
              <w:rPr>
                <w:rFonts w:ascii="Verdana" w:hAnsi="Verdana" w:cs="Times New Roman"/>
                <w:b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color w:val="000000"/>
                <w:sz w:val="20"/>
                <w:szCs w:val="18"/>
                <w:lang w:eastAsia="en-IN"/>
              </w:rPr>
              <w:t>Examples and Illustrations</w:t>
            </w:r>
          </w:p>
        </w:tc>
      </w:tr>
      <w:tr w:rsidR="00A85105" w:rsidRPr="009D6726" w:rsidTr="006A4F42">
        <w:tc>
          <w:tcPr>
            <w:tcW w:w="9468" w:type="dxa"/>
            <w:gridSpan w:val="2"/>
          </w:tcPr>
          <w:p w:rsidR="00A85105" w:rsidRDefault="00A85105" w:rsidP="006A4F42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DAY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- 2 (17.01.2023)</w:t>
            </w:r>
          </w:p>
          <w:p w:rsidR="00A85105" w:rsidRPr="00912236" w:rsidRDefault="00A85105" w:rsidP="006A4F42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0"/>
                <w:szCs w:val="18"/>
                <w:highlight w:val="yellow"/>
              </w:rPr>
            </w:pPr>
          </w:p>
        </w:tc>
      </w:tr>
      <w:tr w:rsidR="00A85105" w:rsidRPr="009D6726" w:rsidTr="006A4F42">
        <w:trPr>
          <w:trHeight w:val="413"/>
        </w:trPr>
        <w:tc>
          <w:tcPr>
            <w:tcW w:w="2521" w:type="dxa"/>
            <w:vMerge w:val="restart"/>
          </w:tcPr>
          <w:p w:rsidR="00A85105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I &amp; II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 xml:space="preserve">  </w:t>
            </w:r>
          </w:p>
          <w:p w:rsidR="00A85105" w:rsidRPr="009D6726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(10.00 AM to 12.45 PM)</w:t>
            </w:r>
          </w:p>
        </w:tc>
        <w:tc>
          <w:tcPr>
            <w:tcW w:w="6947" w:type="dxa"/>
          </w:tcPr>
          <w:p w:rsidR="00A85105" w:rsidRPr="009D6726" w:rsidRDefault="00A85105" w:rsidP="006A4F42">
            <w:pPr>
              <w:spacing w:after="0" w:line="240" w:lineRule="auto"/>
              <w:jc w:val="both"/>
              <w:rPr>
                <w:rFonts w:ascii="Verdana" w:hAnsi="Verdana" w:cs="Times New Roman"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color w:val="000000"/>
                <w:sz w:val="20"/>
                <w:szCs w:val="18"/>
              </w:rPr>
              <w:t>Pay Structure &amp; Allowances</w:t>
            </w:r>
          </w:p>
        </w:tc>
      </w:tr>
      <w:tr w:rsidR="00A85105" w:rsidRPr="009D6726" w:rsidTr="006A4F42">
        <w:tc>
          <w:tcPr>
            <w:tcW w:w="2521" w:type="dxa"/>
            <w:vMerge/>
          </w:tcPr>
          <w:p w:rsidR="00A85105" w:rsidRPr="009D6726" w:rsidRDefault="00A85105" w:rsidP="006A4F42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6947" w:type="dxa"/>
          </w:tcPr>
          <w:p w:rsidR="00A85105" w:rsidRPr="009D6726" w:rsidRDefault="00A85105" w:rsidP="006A4F42">
            <w:pPr>
              <w:numPr>
                <w:ilvl w:val="0"/>
                <w:numId w:val="3"/>
              </w:numPr>
              <w:tabs>
                <w:tab w:val="clear" w:pos="972"/>
                <w:tab w:val="num" w:pos="432"/>
              </w:tabs>
              <w:spacing w:after="0" w:line="240" w:lineRule="auto"/>
              <w:ind w:hanging="90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About Pay Bands, Grade pay</w:t>
            </w:r>
          </w:p>
          <w:p w:rsidR="00A85105" w:rsidRPr="009D6726" w:rsidRDefault="00A85105" w:rsidP="006A4F42">
            <w:pPr>
              <w:numPr>
                <w:ilvl w:val="0"/>
                <w:numId w:val="3"/>
              </w:numPr>
              <w:tabs>
                <w:tab w:val="clear" w:pos="972"/>
                <w:tab w:val="num" w:pos="432"/>
              </w:tabs>
              <w:spacing w:after="0" w:line="240" w:lineRule="auto"/>
              <w:ind w:hanging="90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 xml:space="preserve">Increments, Various components of Pay </w:t>
            </w:r>
          </w:p>
          <w:p w:rsidR="00A85105" w:rsidRPr="009D6726" w:rsidRDefault="00A85105" w:rsidP="006A4F42">
            <w:pPr>
              <w:numPr>
                <w:ilvl w:val="0"/>
                <w:numId w:val="3"/>
              </w:numPr>
              <w:tabs>
                <w:tab w:val="clear" w:pos="972"/>
                <w:tab w:val="num" w:pos="432"/>
              </w:tabs>
              <w:spacing w:after="0" w:line="240" w:lineRule="auto"/>
              <w:ind w:hanging="90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All pay related Allowances</w:t>
            </w:r>
          </w:p>
          <w:p w:rsidR="00A85105" w:rsidRPr="009D6726" w:rsidRDefault="00A85105" w:rsidP="006A4F42">
            <w:pPr>
              <w:numPr>
                <w:ilvl w:val="0"/>
                <w:numId w:val="3"/>
              </w:numPr>
              <w:tabs>
                <w:tab w:val="clear" w:pos="972"/>
                <w:tab w:val="num" w:pos="432"/>
              </w:tabs>
              <w:spacing w:after="0" w:line="240" w:lineRule="auto"/>
              <w:ind w:hanging="90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Deductions from Pay</w:t>
            </w:r>
          </w:p>
          <w:p w:rsidR="00A85105" w:rsidRPr="009D6726" w:rsidRDefault="00A85105" w:rsidP="006A4F42">
            <w:pPr>
              <w:numPr>
                <w:ilvl w:val="0"/>
                <w:numId w:val="3"/>
              </w:numPr>
              <w:tabs>
                <w:tab w:val="clear" w:pos="972"/>
                <w:tab w:val="num" w:pos="432"/>
              </w:tabs>
              <w:spacing w:after="0" w:line="240" w:lineRule="auto"/>
              <w:ind w:hanging="90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Recoveries &amp; Court Attachments</w:t>
            </w:r>
          </w:p>
          <w:p w:rsidR="00A85105" w:rsidRPr="009D6726" w:rsidRDefault="00A85105" w:rsidP="006A4F42">
            <w:pPr>
              <w:numPr>
                <w:ilvl w:val="0"/>
                <w:numId w:val="3"/>
              </w:numPr>
              <w:tabs>
                <w:tab w:val="clear" w:pos="972"/>
                <w:tab w:val="num" w:pos="432"/>
              </w:tabs>
              <w:spacing w:after="0" w:line="240" w:lineRule="auto"/>
              <w:ind w:hanging="90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Preparation of Pay Bill</w:t>
            </w:r>
          </w:p>
          <w:p w:rsidR="00A85105" w:rsidRPr="003D1DC6" w:rsidRDefault="00A85105" w:rsidP="006A4F42">
            <w:pPr>
              <w:numPr>
                <w:ilvl w:val="0"/>
                <w:numId w:val="3"/>
              </w:numPr>
              <w:tabs>
                <w:tab w:val="clear" w:pos="972"/>
                <w:tab w:val="num" w:pos="432"/>
              </w:tabs>
              <w:spacing w:after="0" w:line="240" w:lineRule="auto"/>
              <w:ind w:hanging="90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Role of DDO &amp; PAO in pay related matters</w:t>
            </w:r>
          </w:p>
        </w:tc>
      </w:tr>
      <w:tr w:rsidR="00A85105" w:rsidRPr="009D6726" w:rsidTr="006A4F42">
        <w:trPr>
          <w:trHeight w:val="422"/>
        </w:trPr>
        <w:tc>
          <w:tcPr>
            <w:tcW w:w="2521" w:type="dxa"/>
            <w:vMerge w:val="restart"/>
          </w:tcPr>
          <w:p w:rsidR="00A85105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III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 xml:space="preserve"> &amp; IV</w:t>
            </w:r>
          </w:p>
          <w:p w:rsidR="00A85105" w:rsidRPr="009D6726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 xml:space="preserve">(1.45 PM to </w:t>
            </w:r>
            <w:r w:rsidRPr="009D6726"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  <w:t>4.30 PM)</w:t>
            </w:r>
          </w:p>
        </w:tc>
        <w:tc>
          <w:tcPr>
            <w:tcW w:w="6947" w:type="dxa"/>
          </w:tcPr>
          <w:p w:rsidR="00A85105" w:rsidRPr="009D6726" w:rsidRDefault="00A85105" w:rsidP="006A4F42">
            <w:pPr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</w:pPr>
            <w:r w:rsidRPr="009D6726">
              <w:rPr>
                <w:rFonts w:ascii="Verdana" w:hAnsi="Verdana" w:cs="Times New Roman"/>
                <w:b/>
                <w:bCs/>
                <w:sz w:val="20"/>
                <w:szCs w:val="18"/>
              </w:rPr>
              <w:t>Central Civil Services REVISED PAY RULS, 2016</w:t>
            </w:r>
          </w:p>
        </w:tc>
      </w:tr>
      <w:tr w:rsidR="00A85105" w:rsidRPr="009D6726" w:rsidTr="006A4F42">
        <w:tc>
          <w:tcPr>
            <w:tcW w:w="2521" w:type="dxa"/>
            <w:vMerge/>
          </w:tcPr>
          <w:p w:rsidR="00A85105" w:rsidRPr="009D6726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6947" w:type="dxa"/>
          </w:tcPr>
          <w:p w:rsidR="00A85105" w:rsidRPr="009D6726" w:rsidRDefault="00A85105" w:rsidP="006A4F42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after="0" w:line="240" w:lineRule="auto"/>
              <w:ind w:hanging="54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Fixation of Pay on:</w:t>
            </w:r>
          </w:p>
          <w:p w:rsidR="00A85105" w:rsidRPr="009D6726" w:rsidRDefault="00A85105" w:rsidP="006A4F42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after="0" w:line="240" w:lineRule="auto"/>
              <w:ind w:hanging="54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Promotion/Direct recruitment</w:t>
            </w:r>
          </w:p>
          <w:p w:rsidR="00A85105" w:rsidRPr="009D6726" w:rsidRDefault="00A85105" w:rsidP="006A4F42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after="0" w:line="240" w:lineRule="auto"/>
              <w:ind w:hanging="54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Imposition of Penalty</w:t>
            </w:r>
          </w:p>
          <w:p w:rsidR="00A85105" w:rsidRPr="009D6726" w:rsidRDefault="00A85105" w:rsidP="006A4F42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after="0" w:line="240" w:lineRule="auto"/>
              <w:ind w:hanging="54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Deputation</w:t>
            </w:r>
          </w:p>
          <w:p w:rsidR="00A85105" w:rsidRPr="009D6726" w:rsidRDefault="00A85105" w:rsidP="006A4F42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after="0" w:line="240" w:lineRule="auto"/>
              <w:ind w:hanging="540"/>
              <w:jc w:val="both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Re-employed Ex-servicemen</w:t>
            </w:r>
          </w:p>
          <w:p w:rsidR="00A85105" w:rsidRPr="009D6726" w:rsidRDefault="00A85105" w:rsidP="006A4F42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after="0" w:line="240" w:lineRule="auto"/>
              <w:ind w:hanging="540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Grant of MACP</w:t>
            </w:r>
          </w:p>
          <w:p w:rsidR="00A85105" w:rsidRPr="00BA2C35" w:rsidRDefault="00A85105" w:rsidP="006A4F42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spacing w:after="0" w:line="240" w:lineRule="auto"/>
              <w:ind w:hanging="540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  <w:r w:rsidRPr="00BA2C35">
              <w:rPr>
                <w:rFonts w:ascii="Verdana" w:hAnsi="Verdana" w:cs="Times New Roman"/>
                <w:color w:val="000000"/>
                <w:sz w:val="20"/>
                <w:szCs w:val="18"/>
              </w:rPr>
              <w:t>Financial effects of Penalties</w:t>
            </w:r>
          </w:p>
        </w:tc>
      </w:tr>
      <w:tr w:rsidR="00A85105" w:rsidRPr="009D6726" w:rsidTr="006A4F42">
        <w:trPr>
          <w:trHeight w:val="739"/>
        </w:trPr>
        <w:tc>
          <w:tcPr>
            <w:tcW w:w="2521" w:type="dxa"/>
            <w:vMerge/>
          </w:tcPr>
          <w:p w:rsidR="00A85105" w:rsidRPr="009D6726" w:rsidRDefault="00A85105" w:rsidP="006A4F42">
            <w:pPr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6947" w:type="dxa"/>
          </w:tcPr>
          <w:p w:rsidR="00A85105" w:rsidRDefault="00A85105" w:rsidP="006A4F42">
            <w:pPr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18"/>
              </w:rPr>
            </w:pPr>
          </w:p>
          <w:p w:rsidR="00A85105" w:rsidRPr="009D6726" w:rsidRDefault="00A85105" w:rsidP="006A4F42">
            <w:pPr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18"/>
                <w:lang w:eastAsia="en-IN"/>
              </w:rPr>
            </w:pPr>
            <w:r w:rsidRPr="009D6726">
              <w:rPr>
                <w:rFonts w:ascii="Verdana" w:hAnsi="Verdana" w:cs="Times New Roman"/>
                <w:color w:val="000000"/>
                <w:sz w:val="20"/>
                <w:szCs w:val="18"/>
              </w:rPr>
              <w:t>Feedback, Course Closeout &amp; Valediction</w:t>
            </w:r>
          </w:p>
        </w:tc>
      </w:tr>
    </w:tbl>
    <w:p w:rsidR="00A85105" w:rsidRPr="0091259A" w:rsidRDefault="00A85105" w:rsidP="00A85105">
      <w:pPr>
        <w:rPr>
          <w:rFonts w:ascii="Verdana" w:hAnsi="Verdana" w:cs="Times New Roman"/>
          <w:sz w:val="20"/>
        </w:rPr>
      </w:pPr>
    </w:p>
    <w:p w:rsidR="00A85105" w:rsidRDefault="00A85105"/>
    <w:sectPr w:rsidR="00A851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5413"/>
    <w:multiLevelType w:val="hybridMultilevel"/>
    <w:tmpl w:val="6546AF0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00A4E"/>
    <w:multiLevelType w:val="hybridMultilevel"/>
    <w:tmpl w:val="FAD8E522"/>
    <w:lvl w:ilvl="0" w:tplc="40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">
    <w:nsid w:val="73031875"/>
    <w:multiLevelType w:val="hybridMultilevel"/>
    <w:tmpl w:val="F55EC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BE7E27"/>
    <w:multiLevelType w:val="hybridMultilevel"/>
    <w:tmpl w:val="018CAF2E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85105"/>
    <w:rsid w:val="00A8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105"/>
    <w:pPr>
      <w:spacing w:after="0" w:line="240" w:lineRule="auto"/>
    </w:pPr>
  </w:style>
  <w:style w:type="character" w:styleId="Strong">
    <w:name w:val="Strong"/>
    <w:basedOn w:val="DefaultParagraphFont"/>
    <w:qFormat/>
    <w:rsid w:val="00A85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2023-03-01T10:29:00Z</dcterms:created>
  <dcterms:modified xsi:type="dcterms:W3CDTF">2023-03-01T10:29:00Z</dcterms:modified>
</cp:coreProperties>
</file>