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C" w:rsidRDefault="00D2212C" w:rsidP="00D2212C">
      <w:pPr>
        <w:pStyle w:val="NoSpacing"/>
        <w:jc w:val="center"/>
        <w:rPr>
          <w:rFonts w:ascii="Bookman Old Style" w:hAnsi="Bookman Old Style" w:cs="Times New Roman"/>
          <w:b/>
          <w:bCs/>
          <w:color w:val="000000"/>
        </w:rPr>
      </w:pPr>
      <w:r w:rsidRPr="005E163C">
        <w:rPr>
          <w:rFonts w:ascii="Bookman Old Style" w:hAnsi="Bookman Old Style" w:cs="Times New Roman"/>
          <w:b/>
          <w:bCs/>
          <w:color w:val="000000"/>
        </w:rPr>
        <w:t>LEARNING UNIT</w:t>
      </w:r>
    </w:p>
    <w:p w:rsidR="00D2212C" w:rsidRDefault="00D2212C" w:rsidP="00D2212C">
      <w:pPr>
        <w:pStyle w:val="NoSpacing"/>
        <w:jc w:val="center"/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</w:pPr>
      <w:r w:rsidRPr="006712DA"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>‘Personal &amp; Establishment matters</w:t>
      </w:r>
      <w:r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>’</w:t>
      </w:r>
      <w:r w:rsidRPr="006712DA"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 xml:space="preserve"> </w:t>
      </w:r>
    </w:p>
    <w:p w:rsidR="00D2212C" w:rsidRDefault="00D2212C" w:rsidP="00D2212C">
      <w:pPr>
        <w:pStyle w:val="NoSpacing"/>
        <w:ind w:left="-270" w:right="-360"/>
        <w:jc w:val="center"/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</w:pPr>
      <w:r w:rsidRPr="006712DA"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>(Including</w:t>
      </w:r>
      <w:r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 xml:space="preserve"> Reservation, MACP, DPC &amp; APAR,</w:t>
      </w:r>
      <w:r w:rsidRPr="006712DA"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 xml:space="preserve"> L</w:t>
      </w:r>
      <w:r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>T</w:t>
      </w:r>
      <w:r w:rsidRPr="006712DA"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  <w:t>C &amp; Medical Rules</w:t>
      </w:r>
    </w:p>
    <w:p w:rsidR="00D2212C" w:rsidRPr="007C5D64" w:rsidRDefault="00D2212C" w:rsidP="00D2212C">
      <w:pPr>
        <w:pStyle w:val="NoSpacing"/>
        <w:jc w:val="center"/>
        <w:rPr>
          <w:rFonts w:ascii="Bookman Old Style" w:hAnsi="Bookman Old Style" w:cs="Arial"/>
          <w:b/>
          <w:bCs/>
          <w:sz w:val="44"/>
          <w:szCs w:val="32"/>
          <w:u w:val="single"/>
        </w:rPr>
      </w:pPr>
    </w:p>
    <w:tbl>
      <w:tblPr>
        <w:tblW w:w="105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3570"/>
        <w:gridCol w:w="2880"/>
        <w:gridCol w:w="1960"/>
      </w:tblGrid>
      <w:tr w:rsidR="00D2212C" w:rsidRPr="000B052E" w:rsidTr="006A4F4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Name of the Package of Courses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C" w:rsidRPr="0061271A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61271A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‘Personal</w:t>
            </w:r>
            <w:r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1271A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&amp; Establishment matters</w:t>
            </w:r>
          </w:p>
        </w:tc>
      </w:tr>
      <w:tr w:rsidR="00D2212C" w:rsidRPr="000B052E" w:rsidTr="006A4F4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Duration of the Course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F</w:t>
            </w:r>
            <w:r>
              <w:rPr>
                <w:rFonts w:ascii="Bookman Old Style" w:hAnsi="Bookman Old Style"/>
                <w:b/>
                <w:bCs/>
                <w:sz w:val="21"/>
                <w:szCs w:val="21"/>
              </w:rPr>
              <w:t>our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 Days</w:t>
            </w:r>
          </w:p>
        </w:tc>
      </w:tr>
      <w:tr w:rsidR="00D2212C" w:rsidRPr="000B052E" w:rsidTr="006A4F4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Number of Sessions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sz w:val="21"/>
                <w:szCs w:val="21"/>
              </w:rPr>
              <w:t>16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  (</w:t>
            </w:r>
            <w:r>
              <w:rPr>
                <w:rFonts w:ascii="Bookman Old Style" w:hAnsi="Bookman Old Style"/>
                <w:b/>
                <w:bCs/>
                <w:sz w:val="21"/>
                <w:szCs w:val="21"/>
              </w:rPr>
              <w:t>Sixteen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</w:tr>
      <w:tr w:rsidR="00D2212C" w:rsidRPr="000B052E" w:rsidTr="006A4F4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Training Branch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I</w:t>
            </w:r>
          </w:p>
        </w:tc>
      </w:tr>
      <w:tr w:rsidR="00D2212C" w:rsidRPr="000B052E" w:rsidTr="006A4F4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Name of the Course Coordinator</w:t>
            </w:r>
          </w:p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rPr>
          <w:gridAfter w:val="1"/>
          <w:wAfter w:w="1960" w:type="dxa"/>
        </w:trPr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Enabling Objectives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Contents &amp; Sequence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Name of Faculty</w:t>
            </w:r>
          </w:p>
        </w:tc>
      </w:tr>
      <w:tr w:rsidR="00D2212C" w:rsidRPr="000B052E" w:rsidTr="006A4F42">
        <w:tblPrEx>
          <w:tblLook w:val="00A0"/>
        </w:tblPrEx>
        <w:tc>
          <w:tcPr>
            <w:tcW w:w="10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2C" w:rsidRPr="000B052E" w:rsidRDefault="00D2212C" w:rsidP="00D2212C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372FDB">
              <w:rPr>
                <w:rFonts w:ascii="Bookman Old Style" w:hAnsi="Bookman Old Style"/>
                <w:b/>
                <w:bCs/>
                <w:sz w:val="24"/>
                <w:szCs w:val="24"/>
              </w:rPr>
              <w:t>Day-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     </w:t>
            </w:r>
          </w:p>
        </w:tc>
      </w:tr>
      <w:tr w:rsidR="00D2212C" w:rsidRPr="000B052E" w:rsidTr="006A4F42">
        <w:tblPrEx>
          <w:tblLook w:val="00A0"/>
        </w:tblPrEx>
        <w:trPr>
          <w:trHeight w:val="187"/>
        </w:trPr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 &amp; II (10.00 AM to 12.45 PM)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An Overview of FR &amp; SR And CCS(CCA) Rules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Main Rules of FR</w:t>
            </w:r>
          </w:p>
          <w:p w:rsidR="00D2212C" w:rsidRDefault="00D2212C" w:rsidP="006A4F42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1D58DE">
              <w:rPr>
                <w:rFonts w:ascii="Bookman Old Style" w:hAnsi="Bookman Old Style"/>
                <w:sz w:val="21"/>
                <w:szCs w:val="21"/>
              </w:rPr>
              <w:t>Main Rules of SR</w:t>
            </w:r>
          </w:p>
          <w:p w:rsidR="00D2212C" w:rsidRDefault="00D2212C" w:rsidP="006A4F42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Important Concepts &amp; Terms</w:t>
            </w:r>
          </w:p>
          <w:p w:rsidR="00D2212C" w:rsidRPr="000B052E" w:rsidRDefault="00D2212C" w:rsidP="006A4F42">
            <w:pPr>
              <w:pStyle w:val="NoSpacing"/>
              <w:ind w:left="720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III &amp; IV (</w:t>
            </w:r>
            <w:r w:rsidRPr="000B052E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1.45 PM to 4.30 PM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>Recruitment and Appointment</w:t>
            </w: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Creation/classification of posts.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Framing of Recruitment Rules – Essential qualification, Desirable qualification – age relaxation.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Methods of Recruitment, </w:t>
            </w:r>
            <w:proofErr w:type="spellStart"/>
            <w:r w:rsidRPr="000B052E">
              <w:rPr>
                <w:rFonts w:ascii="Bookman Old Style" w:hAnsi="Bookman Old Style"/>
                <w:sz w:val="21"/>
                <w:szCs w:val="21"/>
              </w:rPr>
              <w:t>Rectt</w:t>
            </w:r>
            <w:proofErr w:type="spellEnd"/>
            <w:r w:rsidRPr="000B052E">
              <w:rPr>
                <w:rFonts w:ascii="Bookman Old Style" w:hAnsi="Bookman Old Style"/>
                <w:sz w:val="21"/>
                <w:szCs w:val="21"/>
              </w:rPr>
              <w:t>. Agencies, Ad-Hoc Appointments , Contract Appointments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Appointment –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3"/>
              </w:numPr>
              <w:ind w:firstLine="22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Direct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3"/>
              </w:numPr>
              <w:ind w:firstLine="22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Promotion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3"/>
              </w:numPr>
              <w:ind w:firstLine="22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On Deputation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3"/>
              </w:numPr>
              <w:ind w:firstLine="22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Compassionate appointment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Main condition (in permanent &amp; temporary cases),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Probation.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Drafting terms and conditions of deputation.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Rules and conditions for appointment on compassionate grounds.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10510" w:type="dxa"/>
            <w:gridSpan w:val="4"/>
          </w:tcPr>
          <w:p w:rsidR="00D2212C" w:rsidRPr="000B052E" w:rsidRDefault="00D2212C" w:rsidP="00D2212C">
            <w:pPr>
              <w:pStyle w:val="NoSpacing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372FDB">
              <w:rPr>
                <w:rFonts w:ascii="Bookman Old Style" w:hAnsi="Bookman Old Style"/>
                <w:b/>
                <w:bCs/>
              </w:rPr>
              <w:t>Day-2</w:t>
            </w:r>
            <w:r>
              <w:rPr>
                <w:rFonts w:ascii="Bookman Old Style" w:hAnsi="Bookman Old Style"/>
                <w:b/>
                <w:bCs/>
              </w:rPr>
              <w:t xml:space="preserve">     </w:t>
            </w: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 &amp; II (10.00 AM to 12.45 PM)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jc w:val="both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 xml:space="preserve">Reservation in Services for SC/ST/OBC etc.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 xml:space="preserve"> </w:t>
            </w:r>
          </w:p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Constitutional provisions regarding reservation – </w:t>
            </w:r>
          </w:p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Reservation of :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Scheduled Caste.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Scheduled Tribe.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Other backward classes.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Person with disabilities.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Ex-Service Man.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Sports Man.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Roster design – Direct Recruitment/promotion.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Reservation difference between vacancy based and post based reservation.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De-reservation/carry forward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Application to Scientific &amp; Technical posts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Duties of Liaison Officer H.O.O/HOD</w:t>
            </w:r>
          </w:p>
          <w:p w:rsidR="00D2212C" w:rsidRPr="000B052E" w:rsidRDefault="00D2212C" w:rsidP="00D2212C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National Commission for SC and ST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lastRenderedPageBreak/>
              <w:t>Session - III &amp; IV (</w:t>
            </w:r>
            <w:r w:rsidRPr="000B052E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1.45 PM to 4.30 PM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 xml:space="preserve">Regularization, Confirmation, Lien ,Seniority and Promotion 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Rules for deciding –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Regularization – </w:t>
            </w:r>
            <w:proofErr w:type="spellStart"/>
            <w:r w:rsidRPr="000B052E">
              <w:rPr>
                <w:rFonts w:ascii="Bookman Old Style" w:hAnsi="Bookman Old Style"/>
                <w:sz w:val="21"/>
                <w:szCs w:val="21"/>
              </w:rPr>
              <w:t>Adhoc</w:t>
            </w:r>
            <w:proofErr w:type="spellEnd"/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 appointment.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Confirmation in initial grade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Preparing tentative/ final seniority list – Vigilance Angle – Direct Recruits and </w:t>
            </w:r>
            <w:proofErr w:type="spellStart"/>
            <w:r w:rsidRPr="000B052E">
              <w:rPr>
                <w:rFonts w:ascii="Bookman Old Style" w:hAnsi="Bookman Old Style"/>
                <w:sz w:val="21"/>
                <w:szCs w:val="21"/>
              </w:rPr>
              <w:t>promotees</w:t>
            </w:r>
            <w:proofErr w:type="spellEnd"/>
            <w:r w:rsidRPr="000B052E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D2212C" w:rsidRPr="00F44090" w:rsidRDefault="00D2212C" w:rsidP="006A4F42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Promotion – D.P.C. proceedings</w:t>
            </w:r>
          </w:p>
          <w:p w:rsidR="00D2212C" w:rsidRPr="000B052E" w:rsidRDefault="00D2212C" w:rsidP="006A4F42">
            <w:pPr>
              <w:pStyle w:val="NoSpacing"/>
              <w:ind w:left="720"/>
              <w:jc w:val="both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10510" w:type="dxa"/>
            <w:gridSpan w:val="4"/>
          </w:tcPr>
          <w:p w:rsidR="00D2212C" w:rsidRPr="00372FDB" w:rsidRDefault="00D2212C" w:rsidP="00D2212C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72FDB">
              <w:rPr>
                <w:rFonts w:ascii="Bookman Old Style" w:hAnsi="Bookman Old Style"/>
                <w:b/>
              </w:rPr>
              <w:t>Day-3</w:t>
            </w:r>
            <w:r>
              <w:rPr>
                <w:rFonts w:ascii="Bookman Old Style" w:hAnsi="Bookman Old Style"/>
                <w:b/>
                <w:bCs/>
              </w:rPr>
              <w:t xml:space="preserve">     </w:t>
            </w: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 (</w:t>
            </w:r>
            <w:r w:rsidRPr="000B052E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10.00 AM to 11.15 AM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 xml:space="preserve">ACP and MACPS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560"/>
        </w:trPr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6"/>
              </w:numPr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Background of the scheme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6"/>
              </w:numPr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ACP – promotion or financial up-gradation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6"/>
              </w:numPr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Sixth Pay Commission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6"/>
              </w:numPr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Modified Assured Career Progression Scheme</w:t>
            </w:r>
          </w:p>
          <w:p w:rsidR="00D2212C" w:rsidRPr="000B052E" w:rsidRDefault="00D2212C" w:rsidP="006A4F42">
            <w:pPr>
              <w:pStyle w:val="NoSpacing"/>
              <w:ind w:left="720" w:hanging="687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Examples and Illustrations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sz w:val="21"/>
                <w:szCs w:val="21"/>
              </w:rPr>
              <w:br w:type="page"/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II (</w:t>
            </w:r>
            <w:r w:rsidRPr="000B052E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11.30 AM to 12.45 PM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sz w:val="21"/>
                <w:szCs w:val="21"/>
              </w:rPr>
              <w:t xml:space="preserve">ACR and APAR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7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Writing correct confidential report – contents and manner principles to be observed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7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Transfer of Reporting/ Reviewing Officer in middle of the year – on transfer of employee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7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Time limitation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7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Self appraisal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7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Intimating Adverse Remarks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>
              <w:br w:type="page"/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III &amp; IV (01.45 PM to 04.30 PM)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Medical Attendance Rules / DGEHS</w:t>
            </w:r>
          </w:p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346"/>
        </w:trPr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C.C.S Medical Attendance Rules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Scope, definition and facilities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Grant of Medical Advance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Treatment for Special Diseases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Concession for families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Treatment in Homeopathy/ </w:t>
            </w:r>
            <w:proofErr w:type="spellStart"/>
            <w:r w:rsidRPr="000B052E">
              <w:rPr>
                <w:rFonts w:ascii="Bookman Old Style" w:hAnsi="Bookman Old Style"/>
                <w:sz w:val="21"/>
                <w:szCs w:val="21"/>
              </w:rPr>
              <w:t>Ayurveda</w:t>
            </w:r>
            <w:proofErr w:type="spellEnd"/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 and </w:t>
            </w:r>
            <w:proofErr w:type="spellStart"/>
            <w:r w:rsidRPr="000B052E">
              <w:rPr>
                <w:rFonts w:ascii="Bookman Old Style" w:hAnsi="Bookman Old Style"/>
                <w:sz w:val="21"/>
                <w:szCs w:val="21"/>
              </w:rPr>
              <w:t>Unani</w:t>
            </w:r>
            <w:proofErr w:type="spellEnd"/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 System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Compulsory monthly subscription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Eligibility – family/ beneficiaries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Mode of payment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Applicability to pensioners etc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346"/>
        </w:trPr>
        <w:tc>
          <w:tcPr>
            <w:tcW w:w="10510" w:type="dxa"/>
            <w:gridSpan w:val="4"/>
          </w:tcPr>
          <w:p w:rsidR="00D2212C" w:rsidRPr="00372FDB" w:rsidRDefault="00D2212C" w:rsidP="00D2212C">
            <w:pPr>
              <w:pStyle w:val="NoSpacing"/>
              <w:jc w:val="center"/>
              <w:rPr>
                <w:rFonts w:ascii="Bookman Old Style" w:hAnsi="Bookman Old Style"/>
                <w:b/>
                <w:bCs/>
              </w:rPr>
            </w:pPr>
            <w:r w:rsidRPr="00372FDB">
              <w:rPr>
                <w:rFonts w:ascii="Bookman Old Style" w:hAnsi="Bookman Old Style"/>
                <w:b/>
                <w:bCs/>
              </w:rPr>
              <w:t>Day-4</w:t>
            </w:r>
            <w:r>
              <w:rPr>
                <w:rFonts w:ascii="Bookman Old Style" w:hAnsi="Bookman Old Style"/>
                <w:b/>
                <w:bCs/>
              </w:rPr>
              <w:t xml:space="preserve">     </w:t>
            </w: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 &amp; II (10.00 AM to 12.45 PM)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Leave Travel Concession ( LTC)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Salient Points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Advance and Reimbursement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LTC to Home Town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LTC to any place in India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Misuse of LTC 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9"/>
              </w:numPr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 xml:space="preserve">Special Concessions for N-E Region.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357"/>
        </w:trPr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Leave Rules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10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</w:rPr>
              <w:t>Different kinds of Leave-Admissibility and conditions for sanction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Session - III &amp; IV (</w:t>
            </w:r>
            <w:r w:rsidRPr="000B052E">
              <w:rPr>
                <w:rFonts w:ascii="Bookman Old Style" w:hAnsi="Bookman Old Style"/>
                <w:b/>
                <w:bCs/>
                <w:color w:val="000000"/>
                <w:sz w:val="21"/>
                <w:szCs w:val="21"/>
              </w:rPr>
              <w:t>1.45 PM to 4.30 PM</w:t>
            </w: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Retirement , Resignation, Removal and Dismissal </w:t>
            </w:r>
          </w:p>
        </w:tc>
        <w:tc>
          <w:tcPr>
            <w:tcW w:w="1960" w:type="dxa"/>
            <w:vMerge w:val="restart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Retirement on superannuation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Voluntary retirement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lastRenderedPageBreak/>
              <w:t>Retirement on medical grounds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Compulsory retirement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Format of resignation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Authority competent to accept resignation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Circumstances under which resignation should be accepted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Date when resignation is effective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Resignation as technical formality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Resignation in cases of temporary Govt. servants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>Forfeiture of service on resignation</w:t>
            </w:r>
          </w:p>
          <w:p w:rsidR="00D2212C" w:rsidRPr="000B052E" w:rsidRDefault="00D2212C" w:rsidP="006A4F4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0B052E">
              <w:rPr>
                <w:rFonts w:ascii="Bookman Old Style" w:hAnsi="Bookman Old Style"/>
                <w:sz w:val="21"/>
                <w:szCs w:val="21"/>
                <w:lang w:eastAsia="en-IN" w:bidi="hi-IN"/>
              </w:rPr>
              <w:t xml:space="preserve">About Removal &amp; Dismissal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301"/>
        </w:trPr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  <w:r w:rsidRPr="000B052E">
              <w:rPr>
                <w:rFonts w:ascii="Bookman Old Style" w:hAnsi="Bookman Old Style"/>
                <w:b/>
                <w:bCs/>
                <w:sz w:val="21"/>
                <w:szCs w:val="21"/>
                <w:lang w:eastAsia="en-IN" w:bidi="hi-IN"/>
              </w:rPr>
              <w:t xml:space="preserve">Redeployment and  Re-employment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</w:p>
        </w:tc>
      </w:tr>
      <w:tr w:rsidR="00D2212C" w:rsidRPr="000B052E" w:rsidTr="006A4F42">
        <w:tblPrEx>
          <w:tblLook w:val="00A0"/>
        </w:tblPrEx>
        <w:trPr>
          <w:trHeight w:val="1120"/>
        </w:trPr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E91B3F" w:rsidRDefault="00D2212C" w:rsidP="006A4F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/>
                <w:sz w:val="20"/>
                <w:szCs w:val="20"/>
                <w:lang w:eastAsia="en-IN" w:bidi="hi-IN"/>
              </w:rPr>
            </w:pPr>
            <w:r w:rsidRPr="00E91B3F">
              <w:rPr>
                <w:rFonts w:ascii="Bookman Old Style" w:hAnsi="Bookman Old Style"/>
                <w:sz w:val="20"/>
                <w:szCs w:val="20"/>
                <w:lang w:eastAsia="en-IN" w:bidi="hi-IN"/>
              </w:rPr>
              <w:t>Procedure and formalities for redeployment</w:t>
            </w:r>
          </w:p>
          <w:p w:rsidR="00D2212C" w:rsidRPr="00E91B3F" w:rsidRDefault="00D2212C" w:rsidP="006A4F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/>
                <w:sz w:val="20"/>
                <w:szCs w:val="20"/>
                <w:lang w:eastAsia="en-IN" w:bidi="hi-IN"/>
              </w:rPr>
            </w:pPr>
            <w:r w:rsidRPr="00E91B3F">
              <w:rPr>
                <w:rFonts w:ascii="Bookman Old Style" w:hAnsi="Bookman Old Style"/>
                <w:sz w:val="20"/>
                <w:szCs w:val="20"/>
                <w:lang w:eastAsia="en-IN" w:bidi="hi-IN"/>
              </w:rPr>
              <w:t>Employment after retirement</w:t>
            </w:r>
          </w:p>
          <w:p w:rsidR="00D2212C" w:rsidRPr="00E91B3F" w:rsidRDefault="00D2212C" w:rsidP="006A4F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/>
                <w:sz w:val="20"/>
                <w:szCs w:val="20"/>
                <w:lang w:eastAsia="en-IN" w:bidi="hi-IN"/>
              </w:rPr>
            </w:pPr>
            <w:r w:rsidRPr="00E91B3F">
              <w:rPr>
                <w:rFonts w:ascii="Bookman Old Style" w:hAnsi="Bookman Old Style"/>
                <w:sz w:val="20"/>
                <w:szCs w:val="20"/>
                <w:lang w:eastAsia="en-IN" w:bidi="hi-IN"/>
              </w:rPr>
              <w:t xml:space="preserve">Distinction between Re-employment and Extension </w:t>
            </w:r>
          </w:p>
          <w:p w:rsidR="00D2212C" w:rsidRPr="00E91B3F" w:rsidRDefault="00D2212C" w:rsidP="006A4F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91B3F">
              <w:rPr>
                <w:rFonts w:ascii="Bookman Old Style" w:hAnsi="Bookman Old Style"/>
                <w:sz w:val="20"/>
                <w:szCs w:val="20"/>
                <w:lang w:eastAsia="en-IN" w:bidi="hi-IN"/>
              </w:rPr>
              <w:t xml:space="preserve">Engagement of Consultants </w:t>
            </w:r>
          </w:p>
          <w:p w:rsidR="00D2212C" w:rsidRPr="00E91B3F" w:rsidRDefault="00D2212C" w:rsidP="006A4F4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/>
                <w:sz w:val="20"/>
                <w:szCs w:val="20"/>
                <w:lang w:eastAsia="en-IN" w:bidi="hi-IN"/>
              </w:rPr>
            </w:pPr>
            <w:r w:rsidRPr="00E91B3F">
              <w:rPr>
                <w:rFonts w:ascii="Bookman Old Style" w:hAnsi="Bookman Old Style"/>
                <w:sz w:val="20"/>
                <w:szCs w:val="20"/>
                <w:lang w:eastAsia="en-IN" w:bidi="hi-IN"/>
              </w:rPr>
              <w:t xml:space="preserve">Payment to consultants etc. 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  <w:lang w:eastAsia="en-IN" w:bidi="hi-IN"/>
              </w:rPr>
            </w:pPr>
          </w:p>
        </w:tc>
      </w:tr>
      <w:tr w:rsidR="00D2212C" w:rsidRPr="000B052E" w:rsidTr="006A4F42">
        <w:tblPrEx>
          <w:tblLook w:val="00A0"/>
        </w:tblPrEx>
        <w:tc>
          <w:tcPr>
            <w:tcW w:w="210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450" w:type="dxa"/>
            <w:gridSpan w:val="2"/>
          </w:tcPr>
          <w:p w:rsidR="00D2212C" w:rsidRPr="00E91B3F" w:rsidRDefault="00D2212C" w:rsidP="006A4F4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E91B3F">
              <w:rPr>
                <w:rFonts w:ascii="Bookman Old Style" w:hAnsi="Bookman Old Style"/>
                <w:sz w:val="20"/>
                <w:szCs w:val="20"/>
              </w:rPr>
              <w:t>Feedback, Course Closeout &amp; Valediction</w:t>
            </w:r>
          </w:p>
        </w:tc>
        <w:tc>
          <w:tcPr>
            <w:tcW w:w="1960" w:type="dxa"/>
            <w:vMerge/>
          </w:tcPr>
          <w:p w:rsidR="00D2212C" w:rsidRPr="000B052E" w:rsidRDefault="00D2212C" w:rsidP="006A4F42">
            <w:pPr>
              <w:pStyle w:val="NoSpacing"/>
              <w:rPr>
                <w:rFonts w:ascii="Bookman Old Style" w:hAnsi="Bookman Old Style"/>
                <w:sz w:val="21"/>
                <w:szCs w:val="21"/>
              </w:rPr>
            </w:pPr>
          </w:p>
        </w:tc>
      </w:tr>
    </w:tbl>
    <w:p w:rsidR="00D2212C" w:rsidRPr="000B052E" w:rsidRDefault="00D2212C" w:rsidP="00D2212C">
      <w:pPr>
        <w:pStyle w:val="NoSpacing"/>
        <w:rPr>
          <w:rFonts w:ascii="Bookman Old Style" w:hAnsi="Bookman Old Style"/>
          <w:b/>
          <w:bCs/>
          <w:sz w:val="21"/>
          <w:szCs w:val="21"/>
        </w:rPr>
      </w:pPr>
    </w:p>
    <w:p w:rsidR="00F3786D" w:rsidRDefault="00F3786D"/>
    <w:sectPr w:rsidR="00F3786D" w:rsidSect="00D2212C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6A2"/>
    <w:multiLevelType w:val="hybridMultilevel"/>
    <w:tmpl w:val="083A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C10F0"/>
    <w:multiLevelType w:val="hybridMultilevel"/>
    <w:tmpl w:val="058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62DE"/>
    <w:multiLevelType w:val="hybridMultilevel"/>
    <w:tmpl w:val="50C4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17403"/>
    <w:multiLevelType w:val="hybridMultilevel"/>
    <w:tmpl w:val="B828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14615"/>
    <w:multiLevelType w:val="hybridMultilevel"/>
    <w:tmpl w:val="8D54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90E63"/>
    <w:multiLevelType w:val="hybridMultilevel"/>
    <w:tmpl w:val="3E2A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43E9C"/>
    <w:multiLevelType w:val="hybridMultilevel"/>
    <w:tmpl w:val="2A02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5628A"/>
    <w:multiLevelType w:val="hybridMultilevel"/>
    <w:tmpl w:val="161EC4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465F3"/>
    <w:multiLevelType w:val="hybridMultilevel"/>
    <w:tmpl w:val="B198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70648"/>
    <w:multiLevelType w:val="hybridMultilevel"/>
    <w:tmpl w:val="CFD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9198E"/>
    <w:multiLevelType w:val="hybridMultilevel"/>
    <w:tmpl w:val="34E6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A668A"/>
    <w:multiLevelType w:val="hybridMultilevel"/>
    <w:tmpl w:val="115A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2212C"/>
    <w:rsid w:val="00106993"/>
    <w:rsid w:val="00D2212C"/>
    <w:rsid w:val="00F3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1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2023-03-01T10:30:00Z</dcterms:created>
  <dcterms:modified xsi:type="dcterms:W3CDTF">2023-03-01T10:31:00Z</dcterms:modified>
</cp:coreProperties>
</file>